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D60D" w14:textId="1FAD6437" w:rsidR="00852240" w:rsidRPr="008979D2" w:rsidRDefault="00CC1EC5" w:rsidP="00852240">
      <w:pPr>
        <w:spacing w:after="0" w:line="240" w:lineRule="auto"/>
        <w:rPr>
          <w:rFonts w:cstheme="minorHAnsi"/>
          <w:b/>
        </w:rPr>
      </w:pPr>
      <w:r w:rsidRPr="008979D2">
        <w:rPr>
          <w:rFonts w:cstheme="minorHAnsi"/>
          <w:b/>
        </w:rPr>
        <w:t>Pożary domów i mieszkań najczęściej w woj. mazowieckim</w:t>
      </w:r>
    </w:p>
    <w:p w14:paraId="58885401" w14:textId="010B9FB5" w:rsidR="00852240" w:rsidRPr="008979D2" w:rsidRDefault="00852240" w:rsidP="00852240">
      <w:pPr>
        <w:spacing w:after="0" w:line="240" w:lineRule="auto"/>
        <w:rPr>
          <w:rFonts w:cstheme="minorHAnsi"/>
          <w:b/>
        </w:rPr>
      </w:pPr>
    </w:p>
    <w:p w14:paraId="35FA811A" w14:textId="6F0E5560" w:rsidR="00852240" w:rsidRPr="008979D2" w:rsidRDefault="0008217F" w:rsidP="000821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8979D2">
        <w:rPr>
          <w:rFonts w:cstheme="minorHAnsi"/>
          <w:b/>
        </w:rPr>
        <w:t>Najwięcej pożarów domów i mieszkań strażacy odnotowują w woj. mazowieckim – w 2016 roku interweni</w:t>
      </w:r>
      <w:r w:rsidR="006D67EC" w:rsidRPr="008979D2">
        <w:rPr>
          <w:rFonts w:cstheme="minorHAnsi"/>
          <w:b/>
        </w:rPr>
        <w:t>owali w regionie 4,2 tys. razy.</w:t>
      </w:r>
    </w:p>
    <w:p w14:paraId="72CA0D5A" w14:textId="0B72CBF5" w:rsidR="00852240" w:rsidRPr="008979D2" w:rsidRDefault="0008217F" w:rsidP="000821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8979D2">
        <w:rPr>
          <w:rFonts w:cstheme="minorHAnsi"/>
          <w:b/>
        </w:rPr>
        <w:t xml:space="preserve">Pożary obiektów mieszkalnych na Mazowszu stanowiły aż 13% wszystkich </w:t>
      </w:r>
      <w:r w:rsidR="00CC1EC5" w:rsidRPr="008979D2">
        <w:rPr>
          <w:rFonts w:cstheme="minorHAnsi"/>
          <w:b/>
        </w:rPr>
        <w:t xml:space="preserve">tego typu odnotowanych </w:t>
      </w:r>
      <w:r w:rsidRPr="008979D2">
        <w:rPr>
          <w:rFonts w:cstheme="minorHAnsi"/>
          <w:b/>
        </w:rPr>
        <w:t xml:space="preserve">w </w:t>
      </w:r>
      <w:bookmarkStart w:id="0" w:name="_GoBack"/>
      <w:bookmarkEnd w:id="0"/>
      <w:r w:rsidR="00CC1EC5" w:rsidRPr="008979D2">
        <w:rPr>
          <w:rFonts w:cstheme="minorHAnsi"/>
          <w:b/>
        </w:rPr>
        <w:t>zeszłym roku</w:t>
      </w:r>
      <w:r w:rsidRPr="008979D2">
        <w:rPr>
          <w:rFonts w:cstheme="minorHAnsi"/>
          <w:b/>
        </w:rPr>
        <w:t xml:space="preserve"> zdarzeń</w:t>
      </w:r>
      <w:r w:rsidR="006D67EC" w:rsidRPr="008979D2">
        <w:rPr>
          <w:rFonts w:cstheme="minorHAnsi"/>
          <w:b/>
        </w:rPr>
        <w:t>.</w:t>
      </w:r>
    </w:p>
    <w:p w14:paraId="333E1792" w14:textId="11597FF2" w:rsidR="00CC1EC5" w:rsidRPr="008979D2" w:rsidRDefault="00CC1EC5" w:rsidP="000821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8979D2">
        <w:rPr>
          <w:rFonts w:cstheme="minorHAnsi"/>
          <w:b/>
        </w:rPr>
        <w:t>Pomimo dbałości o bezpieczeństwo ognia często nie udaje się uniknąć, ale przed skutkami pożaru można chronić się ubezpieczeniem.</w:t>
      </w:r>
    </w:p>
    <w:p w14:paraId="3EDA499F" w14:textId="38CB64ED" w:rsidR="0068471C" w:rsidRPr="008979D2" w:rsidRDefault="0068471C" w:rsidP="0068471C">
      <w:pPr>
        <w:spacing w:after="0" w:line="240" w:lineRule="auto"/>
        <w:jc w:val="both"/>
        <w:rPr>
          <w:rFonts w:cstheme="minorHAnsi"/>
          <w:b/>
        </w:rPr>
      </w:pPr>
    </w:p>
    <w:p w14:paraId="593CE1E3" w14:textId="3F6A1EC6" w:rsidR="00EA269C" w:rsidRPr="008979D2" w:rsidRDefault="0008217F" w:rsidP="0068471C">
      <w:pPr>
        <w:spacing w:after="0" w:line="240" w:lineRule="auto"/>
        <w:jc w:val="both"/>
        <w:rPr>
          <w:rFonts w:cstheme="minorHAnsi"/>
        </w:rPr>
      </w:pPr>
      <w:r w:rsidRPr="008979D2">
        <w:rPr>
          <w:rFonts w:cstheme="minorHAnsi"/>
        </w:rPr>
        <w:t xml:space="preserve">Ze statystyk Komendy Głównej Państwowej Straży Pożarnej wynika, że najbardziej zagrożonym </w:t>
      </w:r>
      <w:r w:rsidR="00CC1EC5" w:rsidRPr="008979D2">
        <w:rPr>
          <w:rFonts w:cstheme="minorHAnsi"/>
        </w:rPr>
        <w:t xml:space="preserve">ogniem </w:t>
      </w:r>
      <w:r w:rsidRPr="008979D2">
        <w:rPr>
          <w:rFonts w:cstheme="minorHAnsi"/>
        </w:rPr>
        <w:t>regionem jest woj. mazowieckim, w którym w 2016 roku doszło do 4,2 tys. pożarów domów i mieszkań. To</w:t>
      </w:r>
      <w:r w:rsidR="00CC1EC5" w:rsidRPr="008979D2">
        <w:rPr>
          <w:rFonts w:cstheme="minorHAnsi"/>
        </w:rPr>
        <w:t xml:space="preserve"> aż</w:t>
      </w:r>
      <w:r w:rsidRPr="008979D2">
        <w:rPr>
          <w:rFonts w:cstheme="minorHAnsi"/>
        </w:rPr>
        <w:t xml:space="preserve"> 13% spośród łącznie 31 tys. tego rodzaju zdarzeń na terenie całego kraju i wyraźnie więcej w </w:t>
      </w:r>
      <w:r w:rsidR="00CC1EC5" w:rsidRPr="008979D2">
        <w:rPr>
          <w:rFonts w:cstheme="minorHAnsi"/>
        </w:rPr>
        <w:t>niż w kolejnych województwach</w:t>
      </w:r>
      <w:r w:rsidRPr="008979D2">
        <w:rPr>
          <w:rFonts w:cstheme="minorHAnsi"/>
        </w:rPr>
        <w:t xml:space="preserve"> na strażackiej liście: śląskim (3,6 tys. pożarów) i dolnośląskim (3,4 tys.). </w:t>
      </w:r>
      <w:r w:rsidR="00CC1EC5" w:rsidRPr="008979D2">
        <w:rPr>
          <w:rFonts w:cstheme="minorHAnsi"/>
        </w:rPr>
        <w:t xml:space="preserve">Najrzadziej ogień pojawia się w obiektach mieszkalnych woj. opolskiego (757) i świętokrzyskiego (857). </w:t>
      </w:r>
      <w:r w:rsidR="001F61EF" w:rsidRPr="008979D2">
        <w:rPr>
          <w:rFonts w:cstheme="minorHAnsi"/>
        </w:rPr>
        <w:t>Ze statystyk wynika, że n</w:t>
      </w:r>
      <w:r w:rsidR="00970836" w:rsidRPr="008979D2">
        <w:rPr>
          <w:rFonts w:cstheme="minorHAnsi"/>
        </w:rPr>
        <w:t>ajczę</w:t>
      </w:r>
      <w:r w:rsidR="001F61EF" w:rsidRPr="008979D2">
        <w:rPr>
          <w:rFonts w:cstheme="minorHAnsi"/>
        </w:rPr>
        <w:t>stszą przyczyną pożarów</w:t>
      </w:r>
      <w:r w:rsidR="00970836" w:rsidRPr="008979D2">
        <w:rPr>
          <w:rFonts w:cstheme="minorHAnsi"/>
        </w:rPr>
        <w:t xml:space="preserve"> jest nieostrożność w posługiwaniu się ogniem</w:t>
      </w:r>
      <w:r w:rsidR="007A35E4" w:rsidRPr="008979D2">
        <w:rPr>
          <w:rFonts w:cstheme="minorHAnsi"/>
        </w:rPr>
        <w:t>,</w:t>
      </w:r>
      <w:r w:rsidR="00970836" w:rsidRPr="008979D2">
        <w:rPr>
          <w:rFonts w:cstheme="minorHAnsi"/>
        </w:rPr>
        <w:t xml:space="preserve"> wadliwe </w:t>
      </w:r>
      <w:r w:rsidR="007A35E4" w:rsidRPr="008979D2">
        <w:rPr>
          <w:rFonts w:cstheme="minorHAnsi"/>
        </w:rPr>
        <w:t>działanie pieców czy grzejników, a także awarie</w:t>
      </w:r>
      <w:r w:rsidR="00970836" w:rsidRPr="008979D2">
        <w:rPr>
          <w:rFonts w:cstheme="minorHAnsi"/>
        </w:rPr>
        <w:t xml:space="preserve"> instalacj</w:t>
      </w:r>
      <w:r w:rsidR="007A35E4" w:rsidRPr="008979D2">
        <w:rPr>
          <w:rFonts w:cstheme="minorHAnsi"/>
        </w:rPr>
        <w:t>i</w:t>
      </w:r>
      <w:r w:rsidR="00970836" w:rsidRPr="008979D2">
        <w:rPr>
          <w:rFonts w:cstheme="minorHAnsi"/>
        </w:rPr>
        <w:t xml:space="preserve"> elektr</w:t>
      </w:r>
      <w:r w:rsidR="00F83C89" w:rsidRPr="008979D2">
        <w:rPr>
          <w:rFonts w:cstheme="minorHAnsi"/>
        </w:rPr>
        <w:t>yczn</w:t>
      </w:r>
      <w:r w:rsidR="007A35E4" w:rsidRPr="008979D2">
        <w:rPr>
          <w:rFonts w:cstheme="minorHAnsi"/>
        </w:rPr>
        <w:t>ych.</w:t>
      </w:r>
    </w:p>
    <w:p w14:paraId="6DC6C0B4" w14:textId="77777777" w:rsidR="00FB590E" w:rsidRPr="008979D2" w:rsidRDefault="00FB590E" w:rsidP="0068471C">
      <w:pPr>
        <w:spacing w:after="0" w:line="240" w:lineRule="auto"/>
        <w:jc w:val="both"/>
        <w:rPr>
          <w:rFonts w:cstheme="minorHAnsi"/>
        </w:rPr>
      </w:pPr>
    </w:p>
    <w:p w14:paraId="0219D025" w14:textId="3994E6EE" w:rsidR="000E696A" w:rsidRPr="008979D2" w:rsidRDefault="000E696A" w:rsidP="000E696A">
      <w:pPr>
        <w:spacing w:after="0" w:line="240" w:lineRule="auto"/>
        <w:jc w:val="both"/>
        <w:rPr>
          <w:rFonts w:cstheme="minorHAnsi"/>
          <w:i/>
        </w:rPr>
      </w:pPr>
      <w:r w:rsidRPr="008979D2">
        <w:rPr>
          <w:rFonts w:cstheme="minorHAnsi"/>
        </w:rPr>
        <w:t>–</w:t>
      </w:r>
      <w:r w:rsidR="00F8732E">
        <w:rPr>
          <w:rFonts w:cstheme="minorHAnsi"/>
          <w:i/>
        </w:rPr>
        <w:t xml:space="preserve"> N</w:t>
      </w:r>
      <w:r w:rsidR="007A35E4" w:rsidRPr="008979D2">
        <w:rPr>
          <w:rFonts w:cstheme="minorHAnsi"/>
          <w:i/>
        </w:rPr>
        <w:t xml:space="preserve">ajwiększa ostrożność </w:t>
      </w:r>
      <w:r w:rsidR="00F8732E">
        <w:rPr>
          <w:rFonts w:cstheme="minorHAnsi"/>
          <w:i/>
        </w:rPr>
        <w:t xml:space="preserve">nigdy w pełni </w:t>
      </w:r>
      <w:r w:rsidR="007A35E4" w:rsidRPr="008979D2">
        <w:rPr>
          <w:rFonts w:cstheme="minorHAnsi"/>
          <w:i/>
        </w:rPr>
        <w:t xml:space="preserve">nie </w:t>
      </w:r>
      <w:r w:rsidR="00F8732E">
        <w:rPr>
          <w:rFonts w:cstheme="minorHAnsi"/>
          <w:i/>
        </w:rPr>
        <w:t>za</w:t>
      </w:r>
      <w:r w:rsidR="007A35E4" w:rsidRPr="008979D2">
        <w:rPr>
          <w:rFonts w:cstheme="minorHAnsi"/>
          <w:i/>
        </w:rPr>
        <w:t>gwarantuje, że w domu czy mieszkaniu nie pojawi się ogień</w:t>
      </w:r>
      <w:r w:rsidR="00351F03">
        <w:rPr>
          <w:rFonts w:cstheme="minorHAnsi"/>
          <w:i/>
        </w:rPr>
        <w:t>.</w:t>
      </w:r>
      <w:r w:rsidR="00F8732E">
        <w:rPr>
          <w:rFonts w:cstheme="minorHAnsi"/>
          <w:i/>
        </w:rPr>
        <w:t xml:space="preserve"> </w:t>
      </w:r>
      <w:r w:rsidR="00351F03">
        <w:rPr>
          <w:rFonts w:cstheme="minorHAnsi"/>
          <w:i/>
        </w:rPr>
        <w:t>P</w:t>
      </w:r>
      <w:r w:rsidR="00F8732E">
        <w:rPr>
          <w:rFonts w:cstheme="minorHAnsi"/>
          <w:i/>
        </w:rPr>
        <w:t>ożaru właściwie nie da się przewidzieć</w:t>
      </w:r>
      <w:r w:rsidR="00351F03">
        <w:rPr>
          <w:rFonts w:cstheme="minorHAnsi"/>
          <w:i/>
        </w:rPr>
        <w:t>, bo t</w:t>
      </w:r>
      <w:r w:rsidR="00F8732E">
        <w:rPr>
          <w:rFonts w:cstheme="minorHAnsi"/>
          <w:i/>
        </w:rPr>
        <w:t>o niemal zawsze zdarzenie nagłe i niespodziewane. Warto</w:t>
      </w:r>
      <w:r w:rsidR="00351F03">
        <w:rPr>
          <w:rFonts w:cstheme="minorHAnsi"/>
          <w:i/>
        </w:rPr>
        <w:t xml:space="preserve"> przy tym</w:t>
      </w:r>
      <w:r w:rsidR="00F8732E">
        <w:rPr>
          <w:rFonts w:cstheme="minorHAnsi"/>
          <w:i/>
        </w:rPr>
        <w:t xml:space="preserve"> pamiętać, że nawet szybka i skuteczna interwencja straży pożarnej może nie uchronić nieruchomości przed poważnym czy całkowitym zniszczeniem. </w:t>
      </w:r>
      <w:r w:rsidR="00092F12">
        <w:rPr>
          <w:rFonts w:cstheme="minorHAnsi"/>
          <w:i/>
        </w:rPr>
        <w:t>S</w:t>
      </w:r>
      <w:r w:rsidR="00F8732E">
        <w:rPr>
          <w:rFonts w:cstheme="minorHAnsi"/>
          <w:i/>
        </w:rPr>
        <w:t>trat bardzo trudno jest</w:t>
      </w:r>
      <w:r w:rsidR="00351F03">
        <w:rPr>
          <w:rFonts w:cstheme="minorHAnsi"/>
          <w:i/>
        </w:rPr>
        <w:t xml:space="preserve"> więc</w:t>
      </w:r>
      <w:r w:rsidR="00F8732E">
        <w:rPr>
          <w:rFonts w:cstheme="minorHAnsi"/>
          <w:i/>
        </w:rPr>
        <w:t xml:space="preserve"> uniknąć,</w:t>
      </w:r>
      <w:r w:rsidR="00092F12">
        <w:rPr>
          <w:rFonts w:cstheme="minorHAnsi"/>
          <w:i/>
        </w:rPr>
        <w:t xml:space="preserve"> ale można się przed ryzykiem ognia zawczasu ubezpieczyć </w:t>
      </w:r>
      <w:r w:rsidR="002342AD" w:rsidRPr="008979D2">
        <w:rPr>
          <w:rFonts w:cstheme="minorHAnsi"/>
        </w:rPr>
        <w:t xml:space="preserve">– tłumaczy </w:t>
      </w:r>
      <w:r w:rsidR="0008217F" w:rsidRPr="008979D2">
        <w:rPr>
          <w:rFonts w:cstheme="minorHAnsi"/>
        </w:rPr>
        <w:t>Jakub Nowiński</w:t>
      </w:r>
      <w:r w:rsidRPr="008979D2">
        <w:rPr>
          <w:rFonts w:cstheme="minorHAnsi"/>
        </w:rPr>
        <w:t xml:space="preserve"> z multiagencji Superpolisa Ubezpieczenia. </w:t>
      </w:r>
    </w:p>
    <w:p w14:paraId="6D587E62" w14:textId="58F8DDAA" w:rsidR="004C74D6" w:rsidRDefault="004C74D6" w:rsidP="0068471C">
      <w:pPr>
        <w:spacing w:after="0" w:line="240" w:lineRule="auto"/>
        <w:jc w:val="both"/>
        <w:rPr>
          <w:rFonts w:cstheme="minorHAnsi"/>
        </w:rPr>
      </w:pPr>
    </w:p>
    <w:p w14:paraId="1118A01E" w14:textId="78729C16" w:rsidR="006A0B43" w:rsidRDefault="006A0B43" w:rsidP="0068471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Polisa na wypadek pożaru. Co sprawdzić przy zakupie?</w:t>
      </w:r>
    </w:p>
    <w:p w14:paraId="6EEE2E99" w14:textId="19F734DE" w:rsidR="008979D2" w:rsidRDefault="006A0B43" w:rsidP="008979D2">
      <w:pPr>
        <w:spacing w:after="0" w:line="240" w:lineRule="auto"/>
        <w:jc w:val="both"/>
      </w:pPr>
      <w:r w:rsidRPr="006A0B43">
        <w:t>Ubezpieczając się od pożaru</w:t>
      </w:r>
      <w:r>
        <w:t xml:space="preserve"> należy</w:t>
      </w:r>
      <w:r w:rsidRPr="006A0B43">
        <w:t xml:space="preserve"> </w:t>
      </w:r>
      <w:r>
        <w:t>w pierwszej kolejności sprawdzić</w:t>
      </w:r>
      <w:r w:rsidRPr="006A0B43">
        <w:t xml:space="preserve">, co dokładnie podlega ochronie. Od ognia można ubezpieczyć </w:t>
      </w:r>
      <w:r w:rsidR="00AF6559">
        <w:t>dom jednorodzinny</w:t>
      </w:r>
      <w:r w:rsidRPr="006A0B43">
        <w:t xml:space="preserve"> z przynależnymi do niego elementami, np. zewnętrznym pomieszczeniem gospodarczym, garażem czy altaną. Przedmiotem ochrony może być także mieszkanie w budynku wielorodzinnym. W obydwu przypadkach ochroną na wypadek ognia (oraz innych zdarzeń losowych) obejmowane są ruchomości domowe (np. meble, sprzęt RTV/AGD, zewnętrzne anteny satelitarne czy solary słoneczne) i elementy stałe nieruchomości (drzwi, okna itp.).</w:t>
      </w:r>
    </w:p>
    <w:p w14:paraId="3BB3FB72" w14:textId="77777777" w:rsidR="00AF6559" w:rsidRDefault="00AF6559" w:rsidP="008979D2">
      <w:pPr>
        <w:spacing w:after="0" w:line="240" w:lineRule="auto"/>
        <w:jc w:val="both"/>
      </w:pPr>
    </w:p>
    <w:p w14:paraId="4FC3BEA3" w14:textId="627C916B" w:rsidR="00AF6559" w:rsidRDefault="00D81377" w:rsidP="008979D2">
      <w:pPr>
        <w:spacing w:after="0" w:line="240" w:lineRule="auto"/>
        <w:jc w:val="both"/>
      </w:pPr>
      <w:r>
        <w:t>–</w:t>
      </w:r>
      <w:r w:rsidR="00AF6559">
        <w:t xml:space="preserve"> </w:t>
      </w:r>
      <w:r w:rsidR="00AF6559" w:rsidRPr="005D0CFA">
        <w:rPr>
          <w:i/>
        </w:rPr>
        <w:t>Przy zakupie polisy właściciel domu czy mieszkania musi samodzielnie wskazać, jaka jest według niego wartość nieruchomości oraz wszystkich przynależących do niej elementów. W odniesieniu do niej ustalana jest tzw. suma ubezpieczenia, czyli kwota określająca wysokość maksymalnego odszkodowania, które można dostać po pożarze. Bardzo ważne jest, żeby suma odpowiadała faktycznej wartości ub</w:t>
      </w:r>
      <w:r w:rsidR="005D0CFA" w:rsidRPr="005D0CFA">
        <w:rPr>
          <w:i/>
        </w:rPr>
        <w:t xml:space="preserve">ezpieczanego mienia, ponieważ </w:t>
      </w:r>
      <w:r w:rsidR="00E80BA8">
        <w:rPr>
          <w:i/>
        </w:rPr>
        <w:t xml:space="preserve">po szkodzie </w:t>
      </w:r>
      <w:r w:rsidR="005D0CFA" w:rsidRPr="005D0CFA">
        <w:rPr>
          <w:i/>
        </w:rPr>
        <w:t>tylko w ten sposób można zapewnić sobie wsparcie finansowe na odpowiednio wysokim poziomie</w:t>
      </w:r>
      <w:r w:rsidR="005D0CFA">
        <w:t xml:space="preserve"> – dodaje Jakub Nowiński.</w:t>
      </w:r>
    </w:p>
    <w:p w14:paraId="6605C4A9" w14:textId="77777777" w:rsidR="00AF6559" w:rsidRDefault="00AF6559" w:rsidP="008979D2">
      <w:pPr>
        <w:spacing w:after="0" w:line="240" w:lineRule="auto"/>
        <w:jc w:val="both"/>
      </w:pPr>
    </w:p>
    <w:p w14:paraId="1756E032" w14:textId="77777777" w:rsidR="00E756D3" w:rsidRDefault="00AF6559" w:rsidP="00540138">
      <w:pPr>
        <w:spacing w:after="0" w:line="240" w:lineRule="auto"/>
        <w:jc w:val="both"/>
      </w:pPr>
      <w:r>
        <w:t>Suma ubezpieczeni</w:t>
      </w:r>
      <w:r w:rsidR="005D0CFA">
        <w:t>a</w:t>
      </w:r>
      <w:r>
        <w:t xml:space="preserve"> ma </w:t>
      </w:r>
      <w:r w:rsidR="00540138">
        <w:t xml:space="preserve">największy </w:t>
      </w:r>
      <w:r>
        <w:t xml:space="preserve">wpływ na cenę </w:t>
      </w:r>
      <w:r w:rsidR="005D0CFA">
        <w:t xml:space="preserve">polisy. </w:t>
      </w:r>
      <w:r w:rsidR="005D0CFA" w:rsidRPr="005D0CFA">
        <w:t>Z</w:t>
      </w:r>
      <w:r w:rsidR="008979D2" w:rsidRPr="005D0CFA">
        <w:t xml:space="preserve">darza się, że w ramach oszczędności właściciele </w:t>
      </w:r>
      <w:r w:rsidR="00540138">
        <w:t xml:space="preserve">nieruchomości </w:t>
      </w:r>
      <w:r w:rsidR="008979D2" w:rsidRPr="005D0CFA">
        <w:t xml:space="preserve">decydują się na </w:t>
      </w:r>
      <w:r w:rsidR="005D0CFA" w:rsidRPr="005D0CFA">
        <w:t xml:space="preserve">jej </w:t>
      </w:r>
      <w:r w:rsidR="008979D2" w:rsidRPr="005D0CFA">
        <w:t>zaniżenie</w:t>
      </w:r>
      <w:r w:rsidR="005D0CFA" w:rsidRPr="005D0CFA">
        <w:t xml:space="preserve">, aby zapłacić niższą składkę. </w:t>
      </w:r>
      <w:r w:rsidR="005D0CFA">
        <w:t xml:space="preserve">W </w:t>
      </w:r>
      <w:r w:rsidR="00540138">
        <w:t xml:space="preserve">rezultacie </w:t>
      </w:r>
      <w:r w:rsidR="005D0CFA">
        <w:t>u</w:t>
      </w:r>
      <w:r w:rsidR="005D0CFA" w:rsidRPr="005D0CFA">
        <w:t xml:space="preserve">bezpieczenie będzie nieco tańsze (np. o kilkadziesiąt złotych), ale ochrona </w:t>
      </w:r>
      <w:r w:rsidR="005D0CFA">
        <w:t>po szkodzie może okazać się nie</w:t>
      </w:r>
      <w:r w:rsidR="005D0CFA" w:rsidRPr="005D0CFA">
        <w:t>wystarczająca</w:t>
      </w:r>
      <w:r w:rsidR="008979D2" w:rsidRPr="005D0CFA">
        <w:t>.</w:t>
      </w:r>
      <w:r w:rsidR="005D0CFA">
        <w:t xml:space="preserve"> Bezpiecznym sposobem na obniżenie ceny jest sprawdzenie ofert różnych towarzystw, ponieważ na rynku dostępne są polisy często o tym samym zakresie ochrony, ale w skrajnie różnych cenach. Różnica pomiędzy najtańszym a najdroższym ubezpieczeniem tej samej nieruchomości może wynieść niekiedy nawet kilkaset złotych w zależności od firmy.</w:t>
      </w:r>
      <w:r w:rsidR="00540138">
        <w:t xml:space="preserve"> </w:t>
      </w:r>
    </w:p>
    <w:p w14:paraId="0928BD4E" w14:textId="77777777" w:rsidR="00E756D3" w:rsidRDefault="00E756D3" w:rsidP="00540138">
      <w:pPr>
        <w:spacing w:after="0" w:line="240" w:lineRule="auto"/>
        <w:jc w:val="both"/>
      </w:pPr>
    </w:p>
    <w:p w14:paraId="63711B4C" w14:textId="7EB2E5F6" w:rsidR="00E756D3" w:rsidRDefault="00D81377" w:rsidP="00540138">
      <w:pPr>
        <w:spacing w:after="0" w:line="240" w:lineRule="auto"/>
        <w:jc w:val="both"/>
      </w:pPr>
      <w:r>
        <w:t>–</w:t>
      </w:r>
      <w:r w:rsidR="00E756D3">
        <w:t xml:space="preserve"> </w:t>
      </w:r>
      <w:r w:rsidR="00540138" w:rsidRPr="00E756D3">
        <w:rPr>
          <w:i/>
        </w:rPr>
        <w:t xml:space="preserve">Warto też pamiętać, że wielu ubezpieczycieli zgadza się obniżyć nieco składkę, jeśli w mieszkaniu czy domu umieszczono czujniki dymu lub czadu czy też ognioodporne drzwi. </w:t>
      </w:r>
      <w:r w:rsidR="00E756D3" w:rsidRPr="00E756D3">
        <w:rPr>
          <w:i/>
        </w:rPr>
        <w:t xml:space="preserve">Tylko pamiętajmy, że </w:t>
      </w:r>
      <w:r w:rsidR="00540138" w:rsidRPr="00E756D3">
        <w:rPr>
          <w:i/>
        </w:rPr>
        <w:t>wszystkie tego typu ubezpieczenia muszą być w momencie pojawienia s</w:t>
      </w:r>
      <w:r w:rsidR="00E756D3" w:rsidRPr="00E756D3">
        <w:rPr>
          <w:i/>
        </w:rPr>
        <w:t>ię ognia sprawne oraz włączone</w:t>
      </w:r>
      <w:r w:rsidR="00E756D3">
        <w:t xml:space="preserve"> – dodaje Jakub Nowiński</w:t>
      </w:r>
      <w:r w:rsidR="00955999">
        <w:t xml:space="preserve"> z Superpolisy Ubezpieczenia.</w:t>
      </w:r>
    </w:p>
    <w:p w14:paraId="41681C88" w14:textId="7DEE25B2" w:rsidR="00540138" w:rsidRPr="00540138" w:rsidRDefault="00540138" w:rsidP="00540138">
      <w:pPr>
        <w:spacing w:after="0" w:line="240" w:lineRule="auto"/>
        <w:jc w:val="both"/>
      </w:pPr>
      <w:r>
        <w:lastRenderedPageBreak/>
        <w:t>Jeśli bowiem</w:t>
      </w:r>
      <w:r w:rsidRPr="008979D2">
        <w:t xml:space="preserve"> </w:t>
      </w:r>
      <w:r>
        <w:t>przedstawiciel ubezpieczyciela stwierdzi</w:t>
      </w:r>
      <w:r w:rsidRPr="008979D2">
        <w:t xml:space="preserve"> </w:t>
      </w:r>
      <w:r>
        <w:t>podczas oględzin po pożarze</w:t>
      </w:r>
      <w:r w:rsidRPr="008979D2">
        <w:t xml:space="preserve">, że </w:t>
      </w:r>
      <w:r>
        <w:t>jakieś zabezpieczenie było zepsute lub</w:t>
      </w:r>
      <w:r w:rsidRPr="008979D2">
        <w:t xml:space="preserve"> nieaktywne, </w:t>
      </w:r>
      <w:r>
        <w:t>może zdecydować się na obniżenie lub nawet odmowę wypłaty odszkodowania</w:t>
      </w:r>
      <w:r w:rsidRPr="008979D2">
        <w:t>.</w:t>
      </w:r>
      <w:r>
        <w:t xml:space="preserve"> </w:t>
      </w:r>
      <w:r w:rsidR="00932D9D">
        <w:t>Aby mieć pewność działania polisy, przed zakupem</w:t>
      </w:r>
      <w:r>
        <w:t xml:space="preserve"> należy sprawdzić pełną listę tzw. wyłączeń odpowiedzialności.</w:t>
      </w:r>
    </w:p>
    <w:p w14:paraId="1D36264D" w14:textId="77777777" w:rsidR="00540138" w:rsidRDefault="00540138" w:rsidP="008979D2">
      <w:pPr>
        <w:spacing w:after="0" w:line="240" w:lineRule="auto"/>
        <w:jc w:val="both"/>
      </w:pPr>
    </w:p>
    <w:p w14:paraId="7BDE017A" w14:textId="7D621232" w:rsidR="00714394" w:rsidRPr="00540138" w:rsidRDefault="00540138" w:rsidP="00540138">
      <w:pPr>
        <w:spacing w:after="0" w:line="240" w:lineRule="auto"/>
        <w:jc w:val="right"/>
        <w:rPr>
          <w:rFonts w:cstheme="minorHAnsi"/>
          <w:b/>
        </w:rPr>
      </w:pPr>
      <w:r>
        <w:t>Źródło: mulitagencja Superpolisa Ubezpieczenia</w:t>
      </w:r>
      <w:r w:rsidR="00D75F5A" w:rsidRPr="008979D2">
        <w:rPr>
          <w:rFonts w:cstheme="minorHAnsi"/>
        </w:rPr>
        <w:t xml:space="preserve"> </w:t>
      </w:r>
    </w:p>
    <w:sectPr w:rsidR="00714394" w:rsidRPr="00540138" w:rsidSect="001F6930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757C8" w14:textId="77777777" w:rsidR="007E6094" w:rsidRDefault="007E6094" w:rsidP="00FE6EBD">
      <w:pPr>
        <w:spacing w:after="0" w:line="240" w:lineRule="auto"/>
      </w:pPr>
      <w:r>
        <w:separator/>
      </w:r>
    </w:p>
  </w:endnote>
  <w:endnote w:type="continuationSeparator" w:id="0">
    <w:p w14:paraId="68E8982A" w14:textId="77777777" w:rsidR="007E6094" w:rsidRDefault="007E6094" w:rsidP="00FE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96A86" w14:textId="77777777" w:rsidR="007E6094" w:rsidRDefault="007E6094" w:rsidP="00FE6EBD">
      <w:pPr>
        <w:spacing w:after="0" w:line="240" w:lineRule="auto"/>
      </w:pPr>
      <w:r>
        <w:separator/>
      </w:r>
    </w:p>
  </w:footnote>
  <w:footnote w:type="continuationSeparator" w:id="0">
    <w:p w14:paraId="08C24364" w14:textId="77777777" w:rsidR="007E6094" w:rsidRDefault="007E6094" w:rsidP="00FE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04268"/>
    <w:multiLevelType w:val="hybridMultilevel"/>
    <w:tmpl w:val="C7BC0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1C"/>
    <w:rsid w:val="00001294"/>
    <w:rsid w:val="00020981"/>
    <w:rsid w:val="00055269"/>
    <w:rsid w:val="00074133"/>
    <w:rsid w:val="0008217F"/>
    <w:rsid w:val="00086B6F"/>
    <w:rsid w:val="00087D3E"/>
    <w:rsid w:val="0009153B"/>
    <w:rsid w:val="00092F12"/>
    <w:rsid w:val="000A187B"/>
    <w:rsid w:val="000B45E9"/>
    <w:rsid w:val="000B6155"/>
    <w:rsid w:val="000B6F90"/>
    <w:rsid w:val="000C1F6C"/>
    <w:rsid w:val="000C7086"/>
    <w:rsid w:val="000C7E5D"/>
    <w:rsid w:val="000E17FC"/>
    <w:rsid w:val="000E2507"/>
    <w:rsid w:val="000E696A"/>
    <w:rsid w:val="000F78C2"/>
    <w:rsid w:val="000F7E6E"/>
    <w:rsid w:val="00130B8F"/>
    <w:rsid w:val="0015068C"/>
    <w:rsid w:val="00151A5C"/>
    <w:rsid w:val="001524CC"/>
    <w:rsid w:val="00155C91"/>
    <w:rsid w:val="001601EF"/>
    <w:rsid w:val="001A0DDE"/>
    <w:rsid w:val="001A26B6"/>
    <w:rsid w:val="001B6097"/>
    <w:rsid w:val="001B6A21"/>
    <w:rsid w:val="001C5600"/>
    <w:rsid w:val="001D60BC"/>
    <w:rsid w:val="001E0987"/>
    <w:rsid w:val="001F4870"/>
    <w:rsid w:val="001F61EF"/>
    <w:rsid w:val="001F6930"/>
    <w:rsid w:val="001F6C32"/>
    <w:rsid w:val="0023394B"/>
    <w:rsid w:val="002342AD"/>
    <w:rsid w:val="00246492"/>
    <w:rsid w:val="00257BEC"/>
    <w:rsid w:val="00263E2B"/>
    <w:rsid w:val="00287051"/>
    <w:rsid w:val="002A0F56"/>
    <w:rsid w:val="002A49F4"/>
    <w:rsid w:val="002E2171"/>
    <w:rsid w:val="00307E6E"/>
    <w:rsid w:val="00351F03"/>
    <w:rsid w:val="00355387"/>
    <w:rsid w:val="003646EA"/>
    <w:rsid w:val="00373931"/>
    <w:rsid w:val="00387DE7"/>
    <w:rsid w:val="003B105B"/>
    <w:rsid w:val="003D350F"/>
    <w:rsid w:val="003E05A2"/>
    <w:rsid w:val="00437F8E"/>
    <w:rsid w:val="004505B0"/>
    <w:rsid w:val="004826D8"/>
    <w:rsid w:val="004848E1"/>
    <w:rsid w:val="004A5DFC"/>
    <w:rsid w:val="004B09A2"/>
    <w:rsid w:val="004B4382"/>
    <w:rsid w:val="004C74D6"/>
    <w:rsid w:val="004D39EE"/>
    <w:rsid w:val="004F5F40"/>
    <w:rsid w:val="005102CA"/>
    <w:rsid w:val="005209B4"/>
    <w:rsid w:val="00533B5E"/>
    <w:rsid w:val="00540138"/>
    <w:rsid w:val="00555811"/>
    <w:rsid w:val="00555B5A"/>
    <w:rsid w:val="00595406"/>
    <w:rsid w:val="005B15C0"/>
    <w:rsid w:val="005C6D29"/>
    <w:rsid w:val="005D0CFA"/>
    <w:rsid w:val="005F0E31"/>
    <w:rsid w:val="00615841"/>
    <w:rsid w:val="00620F5B"/>
    <w:rsid w:val="0068471C"/>
    <w:rsid w:val="006A0B43"/>
    <w:rsid w:val="006A667E"/>
    <w:rsid w:val="006B4C40"/>
    <w:rsid w:val="006C7C39"/>
    <w:rsid w:val="006D67EC"/>
    <w:rsid w:val="006E3B7A"/>
    <w:rsid w:val="00710545"/>
    <w:rsid w:val="00714394"/>
    <w:rsid w:val="0073192D"/>
    <w:rsid w:val="00740CF4"/>
    <w:rsid w:val="0075458C"/>
    <w:rsid w:val="00764C1B"/>
    <w:rsid w:val="0079109B"/>
    <w:rsid w:val="0079272C"/>
    <w:rsid w:val="00795E7A"/>
    <w:rsid w:val="007A35E4"/>
    <w:rsid w:val="007A36B1"/>
    <w:rsid w:val="007A59D4"/>
    <w:rsid w:val="007C0885"/>
    <w:rsid w:val="007C0B77"/>
    <w:rsid w:val="007E6094"/>
    <w:rsid w:val="00804A65"/>
    <w:rsid w:val="0081764E"/>
    <w:rsid w:val="008212E7"/>
    <w:rsid w:val="0084583E"/>
    <w:rsid w:val="00852240"/>
    <w:rsid w:val="00863ACE"/>
    <w:rsid w:val="00873318"/>
    <w:rsid w:val="008812FB"/>
    <w:rsid w:val="008979D2"/>
    <w:rsid w:val="008C09CD"/>
    <w:rsid w:val="008C23FC"/>
    <w:rsid w:val="008C64EB"/>
    <w:rsid w:val="0090226A"/>
    <w:rsid w:val="00907423"/>
    <w:rsid w:val="0091683D"/>
    <w:rsid w:val="00920C2D"/>
    <w:rsid w:val="009249A0"/>
    <w:rsid w:val="00932D9D"/>
    <w:rsid w:val="00933DEC"/>
    <w:rsid w:val="00936E75"/>
    <w:rsid w:val="00955999"/>
    <w:rsid w:val="00957ECB"/>
    <w:rsid w:val="009603C8"/>
    <w:rsid w:val="00970836"/>
    <w:rsid w:val="00984F2F"/>
    <w:rsid w:val="009A35FC"/>
    <w:rsid w:val="009B35E8"/>
    <w:rsid w:val="009D04E8"/>
    <w:rsid w:val="009F4498"/>
    <w:rsid w:val="00A349E0"/>
    <w:rsid w:val="00A7746D"/>
    <w:rsid w:val="00A90F4E"/>
    <w:rsid w:val="00AA0C1E"/>
    <w:rsid w:val="00AC005C"/>
    <w:rsid w:val="00AC428F"/>
    <w:rsid w:val="00AF002E"/>
    <w:rsid w:val="00AF6559"/>
    <w:rsid w:val="00B325AF"/>
    <w:rsid w:val="00B44A09"/>
    <w:rsid w:val="00B619BC"/>
    <w:rsid w:val="00B65A4B"/>
    <w:rsid w:val="00BA4610"/>
    <w:rsid w:val="00BC0F41"/>
    <w:rsid w:val="00BC70E0"/>
    <w:rsid w:val="00BD6529"/>
    <w:rsid w:val="00BE7BF4"/>
    <w:rsid w:val="00C11BBF"/>
    <w:rsid w:val="00C20E60"/>
    <w:rsid w:val="00C40018"/>
    <w:rsid w:val="00C41C2C"/>
    <w:rsid w:val="00C44B1F"/>
    <w:rsid w:val="00C75F2B"/>
    <w:rsid w:val="00C87D3A"/>
    <w:rsid w:val="00C87DC6"/>
    <w:rsid w:val="00C92DFA"/>
    <w:rsid w:val="00C97450"/>
    <w:rsid w:val="00CA291D"/>
    <w:rsid w:val="00CB2775"/>
    <w:rsid w:val="00CC1EC5"/>
    <w:rsid w:val="00CC56B5"/>
    <w:rsid w:val="00D01EF7"/>
    <w:rsid w:val="00D34910"/>
    <w:rsid w:val="00D566FC"/>
    <w:rsid w:val="00D75F5A"/>
    <w:rsid w:val="00D77915"/>
    <w:rsid w:val="00D81377"/>
    <w:rsid w:val="00DE611C"/>
    <w:rsid w:val="00E00C86"/>
    <w:rsid w:val="00E02F2F"/>
    <w:rsid w:val="00E52E2B"/>
    <w:rsid w:val="00E52F6E"/>
    <w:rsid w:val="00E531EC"/>
    <w:rsid w:val="00E57F00"/>
    <w:rsid w:val="00E756D3"/>
    <w:rsid w:val="00E80BA8"/>
    <w:rsid w:val="00EA24CD"/>
    <w:rsid w:val="00EA269C"/>
    <w:rsid w:val="00EB65D3"/>
    <w:rsid w:val="00ED628B"/>
    <w:rsid w:val="00F12FD5"/>
    <w:rsid w:val="00F16851"/>
    <w:rsid w:val="00F40CCC"/>
    <w:rsid w:val="00F6262C"/>
    <w:rsid w:val="00F62AC6"/>
    <w:rsid w:val="00F83C89"/>
    <w:rsid w:val="00F8732E"/>
    <w:rsid w:val="00FB562D"/>
    <w:rsid w:val="00FB590E"/>
    <w:rsid w:val="00FD7FE2"/>
    <w:rsid w:val="00FE022C"/>
    <w:rsid w:val="00FE6EBD"/>
    <w:rsid w:val="00FF6054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8F5B"/>
  <w15:docId w15:val="{D732C4CF-6727-4C8A-80A9-7B4367E2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E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6E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B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8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8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8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81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5224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A2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2636-304A-49E2-8B6D-31B05708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Habasiński</dc:creator>
  <cp:lastModifiedBy>Agnieszka Fabich</cp:lastModifiedBy>
  <cp:revision>6</cp:revision>
  <dcterms:created xsi:type="dcterms:W3CDTF">2017-06-27T08:57:00Z</dcterms:created>
  <dcterms:modified xsi:type="dcterms:W3CDTF">2017-06-27T09:14:00Z</dcterms:modified>
</cp:coreProperties>
</file>